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81" w:rsidRDefault="00A70D81" w:rsidP="00F922CB">
      <w:pPr>
        <w:jc w:val="center"/>
        <w:rPr>
          <w:rFonts w:ascii="Arial" w:hAnsi="Arial" w:cs="Arial"/>
          <w:b/>
          <w:sz w:val="24"/>
          <w:szCs w:val="24"/>
        </w:rPr>
      </w:pPr>
    </w:p>
    <w:p w:rsidR="00F922CB" w:rsidRPr="00F922CB" w:rsidRDefault="00F922CB" w:rsidP="00F922CB">
      <w:pPr>
        <w:jc w:val="center"/>
        <w:rPr>
          <w:rFonts w:ascii="Arial" w:hAnsi="Arial" w:cs="Arial"/>
          <w:b/>
          <w:sz w:val="24"/>
          <w:szCs w:val="24"/>
        </w:rPr>
      </w:pPr>
      <w:r w:rsidRPr="00F922CB">
        <w:rPr>
          <w:rFonts w:ascii="Arial" w:hAnsi="Arial" w:cs="Arial"/>
          <w:b/>
          <w:sz w:val="24"/>
          <w:szCs w:val="24"/>
        </w:rPr>
        <w:t>ANEXO IV</w:t>
      </w:r>
    </w:p>
    <w:p w:rsidR="00F922CB" w:rsidRPr="00F922CB" w:rsidRDefault="00F922CB" w:rsidP="00F922CB">
      <w:pPr>
        <w:jc w:val="center"/>
        <w:rPr>
          <w:rFonts w:ascii="Arial" w:hAnsi="Arial" w:cs="Arial"/>
          <w:b/>
          <w:sz w:val="24"/>
          <w:szCs w:val="24"/>
        </w:rPr>
      </w:pPr>
      <w:r w:rsidRPr="00F922CB">
        <w:rPr>
          <w:rFonts w:ascii="Arial" w:hAnsi="Arial" w:cs="Arial"/>
          <w:b/>
          <w:sz w:val="24"/>
          <w:szCs w:val="24"/>
        </w:rPr>
        <w:t>PLANO DE TRABALHO DO PET – 2021</w:t>
      </w:r>
    </w:p>
    <w:p w:rsidR="00F922CB" w:rsidRPr="00F922CB" w:rsidRDefault="00F922CB" w:rsidP="00F922CB">
      <w:pPr>
        <w:rPr>
          <w:rFonts w:ascii="Arial" w:hAnsi="Arial" w:cs="Arial"/>
          <w:b/>
          <w:sz w:val="24"/>
          <w:szCs w:val="24"/>
        </w:rPr>
      </w:pPr>
      <w:r w:rsidRPr="00F922CB">
        <w:rPr>
          <w:rFonts w:ascii="Arial" w:hAnsi="Arial" w:cs="Arial"/>
          <w:b/>
          <w:sz w:val="24"/>
          <w:szCs w:val="24"/>
        </w:rPr>
        <w:t>Proponentes:</w:t>
      </w:r>
    </w:p>
    <w:p w:rsidR="00F922CB" w:rsidRPr="00F922CB" w:rsidRDefault="00F922CB" w:rsidP="00F922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922CB">
        <w:rPr>
          <w:rFonts w:ascii="Arial" w:hAnsi="Arial" w:cs="Arial"/>
          <w:b/>
          <w:sz w:val="24"/>
          <w:szCs w:val="24"/>
        </w:rPr>
        <w:t>Prof. Dr. Rodrigo</w:t>
      </w:r>
      <w:proofErr w:type="gramEnd"/>
      <w:r w:rsidRPr="00F922CB">
        <w:rPr>
          <w:rFonts w:ascii="Arial" w:hAnsi="Arial" w:cs="Arial"/>
          <w:b/>
          <w:sz w:val="24"/>
          <w:szCs w:val="24"/>
        </w:rPr>
        <w:t xml:space="preserve"> de Almeida Muniz</w:t>
      </w:r>
    </w:p>
    <w:p w:rsidR="00F922CB" w:rsidRPr="00F922CB" w:rsidRDefault="00F922CB" w:rsidP="00F922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 Programa de Educação Tutorial (PET), segundo a Portaria nº 976 do Ministério da Educação (MEC), de 27 de julho de 2010, constitui-se em um programa de educação tutorial desenvolvido em grupos organizados a partir de cursos de graduação das instituições de ensino superior do país, orientados pelo princípio da </w:t>
      </w:r>
      <w:proofErr w:type="spellStart"/>
      <w:r w:rsidRPr="00F922CB">
        <w:rPr>
          <w:rFonts w:ascii="Arial" w:hAnsi="Arial" w:cs="Arial"/>
          <w:sz w:val="24"/>
          <w:szCs w:val="24"/>
        </w:rPr>
        <w:t>insdissociabilidade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entre ensino, pesquisa e extensão, que tem por objetivos: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Desenvolver atividades acadêmicas em padrões de excelência, mediante grupos de aprendizagem tutorial de natureza coletiva e interdisciplinar;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Contribuir para a elevação da qualidade na formação acadêmica dos alunos de </w:t>
      </w:r>
      <w:proofErr w:type="spellStart"/>
      <w:proofErr w:type="gramStart"/>
      <w:r w:rsidRPr="00F922CB">
        <w:rPr>
          <w:rFonts w:ascii="Arial" w:hAnsi="Arial" w:cs="Arial"/>
          <w:sz w:val="24"/>
          <w:szCs w:val="24"/>
        </w:rPr>
        <w:t>gradução</w:t>
      </w:r>
      <w:proofErr w:type="spellEnd"/>
      <w:proofErr w:type="gramEnd"/>
      <w:r w:rsidRPr="00F922CB">
        <w:rPr>
          <w:rFonts w:ascii="Arial" w:hAnsi="Arial" w:cs="Arial"/>
          <w:sz w:val="24"/>
          <w:szCs w:val="24"/>
        </w:rPr>
        <w:t>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Estimular a formação de profissionais docentes de elevada qualificação técnica, científica, tecnológica e acadêmica;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Formular novas estratégias de desenvolvimento e modernização do ensino superior no país;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Estimular o espírito crítico, bem como a atuação profissional pautada pela cidadania e pela função social da educação superior;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Introduzir novas práticas pedagógicas na graduação;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Contribuir para a consolidação e difusão da educação tutorial como prática de formação na graduação;</w:t>
      </w:r>
    </w:p>
    <w:p w:rsidR="00F922CB" w:rsidRPr="00F922CB" w:rsidRDefault="00F922CB" w:rsidP="00F922CB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Contribuir com a política de diversidade na instituição de ensino superior, por meio de ações </w:t>
      </w:r>
      <w:proofErr w:type="spellStart"/>
      <w:r w:rsidRPr="00F922CB">
        <w:rPr>
          <w:rFonts w:ascii="Arial" w:hAnsi="Arial" w:cs="Arial"/>
          <w:sz w:val="24"/>
          <w:szCs w:val="24"/>
        </w:rPr>
        <w:t>afirmaticas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em defesa da equidade </w:t>
      </w:r>
      <w:proofErr w:type="spellStart"/>
      <w:r w:rsidRPr="00F922CB">
        <w:rPr>
          <w:rFonts w:ascii="Arial" w:hAnsi="Arial" w:cs="Arial"/>
          <w:sz w:val="24"/>
          <w:szCs w:val="24"/>
        </w:rPr>
        <w:t>socieconômica</w:t>
      </w:r>
      <w:proofErr w:type="spellEnd"/>
      <w:r w:rsidRPr="00F922CB">
        <w:rPr>
          <w:rFonts w:ascii="Arial" w:hAnsi="Arial" w:cs="Arial"/>
          <w:sz w:val="24"/>
          <w:szCs w:val="24"/>
        </w:rPr>
        <w:t>, étnico-racial e de gênero.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Assim o presente plano de trabalho para o Grupo PET-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visa atender às três dimensões de atuação da universidade, ensino, pesquisa e extensão, bem como promover a formação dos bolsistas para além das atividades curriculares, por meio de sua inserção em atividades promovidas pela Faculdade de Educação do Campo e seus docentes e que tenham ao mesmo tempo tenha impacto relevante à sociedade local.</w:t>
      </w:r>
    </w:p>
    <w:p w:rsid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 plano de atividade dos bolsistas PET para o triênio 2019-2021 estará sustentado em três ações prioritárias em desenvolvimento no âmbito da 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. </w:t>
      </w:r>
    </w:p>
    <w:p w:rsidR="00A70D81" w:rsidRPr="00F922CB" w:rsidRDefault="00A70D81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Organização do acervo da 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>;</w:t>
      </w:r>
    </w:p>
    <w:p w:rsidR="00F922CB" w:rsidRPr="00F922CB" w:rsidRDefault="00F922CB" w:rsidP="00F922C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Feira Virtual dos Povos do Campo da Unifesspa;</w:t>
      </w:r>
    </w:p>
    <w:p w:rsidR="00F922CB" w:rsidRPr="00F922CB" w:rsidRDefault="00F922CB" w:rsidP="00F922C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O avanço do agronegócio e o (</w:t>
      </w:r>
      <w:proofErr w:type="spellStart"/>
      <w:proofErr w:type="gramStart"/>
      <w:r w:rsidRPr="00F922CB">
        <w:rPr>
          <w:rFonts w:ascii="Arial" w:hAnsi="Arial" w:cs="Arial"/>
          <w:sz w:val="24"/>
          <w:szCs w:val="24"/>
        </w:rPr>
        <w:t>des</w:t>
      </w:r>
      <w:proofErr w:type="spellEnd"/>
      <w:r w:rsidRPr="00F922CB">
        <w:rPr>
          <w:rFonts w:ascii="Arial" w:hAnsi="Arial" w:cs="Arial"/>
          <w:sz w:val="24"/>
          <w:szCs w:val="24"/>
        </w:rPr>
        <w:t>)envolvimento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regional – um estudo de caso a partir do município de Santa Maria das Barreiras no Pará.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jc w:val="both"/>
        <w:rPr>
          <w:rFonts w:ascii="Arial" w:hAnsi="Arial" w:cs="Arial"/>
          <w:b/>
          <w:sz w:val="24"/>
          <w:szCs w:val="24"/>
        </w:rPr>
      </w:pPr>
      <w:r w:rsidRPr="00F922CB">
        <w:rPr>
          <w:rFonts w:ascii="Arial" w:hAnsi="Arial" w:cs="Arial"/>
          <w:b/>
          <w:sz w:val="24"/>
          <w:szCs w:val="24"/>
        </w:rPr>
        <w:t>ORGANIZAÇÃO DO ACERVO DA FECAMPO (430h)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 acervo da 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é composto dos trabalhos de tempo comunidade dos discentes do curso de Licenciatura em Educação do Campo. Constitui-se numa rica base de dados de diversas comunidades da região, com potencial para subsidiar a elaboração de inúmeros trabalhos acadêmicos, bem como construção de material pedagógico a ser utilizado nas componentes curriculares da educação do campo em todos os níveis de ensino.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 acervo da 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atualmente é físico e encontra-se parcialmente organizado, sistematizado em uma ordem cronológica por turma. No entanto, carece ainda da criação de uma base de dados para consulta, que permita que o usuário possa fazer buscas por temáticas, localidade, palavras-chaves, entre outros, o que somente é possível a partir de uma base de dados digital.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A organização do acervo da 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foi </w:t>
      </w:r>
      <w:proofErr w:type="gramStart"/>
      <w:r w:rsidRPr="00F922CB">
        <w:rPr>
          <w:rFonts w:ascii="Arial" w:hAnsi="Arial" w:cs="Arial"/>
          <w:sz w:val="24"/>
          <w:szCs w:val="24"/>
        </w:rPr>
        <w:t>planejado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para ocorrer no ano de 2019, porém não foi possível dar início ao processo de digitalização por falta da estrutura física da realização das atividades, o que só foi estruturado ao fim do referido ano com a chegada dos equipamentos e estruturação do laboratório de Memória Oral e Visual da Faculdade de Educação do Campo. No ano de 2020, com o estabelecimento do estado de pandemia, em que foi suspensa as atividades presenciais na Unifesspa, não foi possível dar continuidade ao trabalho. Assim, para o ano de 2021, a medida que as atividades presenciais forem autorizadas, os educandos retomarão o trabalho de organização do acervo da </w:t>
      </w:r>
      <w:proofErr w:type="spellStart"/>
      <w:r w:rsidRPr="00F922CB">
        <w:rPr>
          <w:rFonts w:ascii="Arial" w:hAnsi="Arial" w:cs="Arial"/>
          <w:sz w:val="24"/>
          <w:szCs w:val="24"/>
        </w:rPr>
        <w:t>Fecampo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e para isso, inicialmente, será retomado capacitação sobre catalogação de materiais e sistematização de informações, por meio de palestras e oficinas com o </w:t>
      </w:r>
      <w:proofErr w:type="spellStart"/>
      <w:r w:rsidRPr="00F922CB">
        <w:rPr>
          <w:rFonts w:ascii="Arial" w:hAnsi="Arial" w:cs="Arial"/>
          <w:sz w:val="24"/>
          <w:szCs w:val="24"/>
        </w:rPr>
        <w:t>arquivologista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da Unifesspa. Posteriormente, os bolsistas realizarão a catalogação e sistematização mencionadas, além da inserção das informações sistematizadas em plataforma </w:t>
      </w:r>
      <w:r w:rsidRPr="00F922CB">
        <w:rPr>
          <w:rFonts w:ascii="Arial" w:hAnsi="Arial" w:cs="Arial"/>
          <w:i/>
          <w:sz w:val="24"/>
          <w:szCs w:val="24"/>
        </w:rPr>
        <w:t>on line</w:t>
      </w:r>
      <w:r w:rsidRPr="00F922CB">
        <w:rPr>
          <w:rFonts w:ascii="Arial" w:hAnsi="Arial" w:cs="Arial"/>
          <w:sz w:val="24"/>
          <w:szCs w:val="24"/>
        </w:rPr>
        <w:t xml:space="preserve"> que permitirá a realização de buscas de materiais por autor e temática e, subsequentemente, a consulta ao acervo.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Atividades a serem realizadas:</w:t>
      </w:r>
    </w:p>
    <w:p w:rsidR="00F922CB" w:rsidRPr="00F922CB" w:rsidRDefault="00F922CB" w:rsidP="00F922CB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922CB">
        <w:rPr>
          <w:rFonts w:ascii="Arial" w:hAnsi="Arial" w:cs="Arial"/>
          <w:sz w:val="24"/>
          <w:szCs w:val="24"/>
        </w:rPr>
        <w:t>capacitação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sobre catalogação de materiais e sistematização de informações;</w:t>
      </w:r>
    </w:p>
    <w:p w:rsidR="00F922CB" w:rsidRPr="00F922CB" w:rsidRDefault="00F922CB" w:rsidP="00F922CB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Digitalização do acervo;</w:t>
      </w:r>
    </w:p>
    <w:p w:rsidR="00F922CB" w:rsidRDefault="00F922CB" w:rsidP="00F922CB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Indexação dos trabalhos;</w:t>
      </w:r>
    </w:p>
    <w:p w:rsidR="00A70D81" w:rsidRPr="00F922CB" w:rsidRDefault="00A70D81" w:rsidP="00A70D81">
      <w:pPr>
        <w:spacing w:after="20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Alimentação da plataforma on line.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jc w:val="both"/>
        <w:rPr>
          <w:rFonts w:ascii="Arial" w:hAnsi="Arial" w:cs="Arial"/>
          <w:b/>
          <w:sz w:val="24"/>
          <w:szCs w:val="24"/>
        </w:rPr>
      </w:pPr>
      <w:r w:rsidRPr="00F922CB">
        <w:rPr>
          <w:rFonts w:ascii="Arial" w:hAnsi="Arial" w:cs="Arial"/>
          <w:b/>
          <w:sz w:val="24"/>
          <w:szCs w:val="24"/>
        </w:rPr>
        <w:t>FEIRA VIRTUAL DOS POVOS DO CAMPO (100h)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A Feira Virtual dos Povos do Campo é uma iniciativa que teve por objetivo dar continuidade comercialização de produtos da Feira dos Povos do Campo da Unifesspa no contexto de pandemia na segunda metade do ano de 2020 e ocorreu com frequência mensal. Neste ano foram realizadas 5 feiras virtuais com a participação dos agricultores e agricultoras do Projeto de Desenvolvimento Sustentável Porto Seguro, PA 26 de </w:t>
      </w:r>
      <w:proofErr w:type="gramStart"/>
      <w:r w:rsidRPr="00F922CB">
        <w:rPr>
          <w:rFonts w:ascii="Arial" w:hAnsi="Arial" w:cs="Arial"/>
          <w:sz w:val="24"/>
          <w:szCs w:val="24"/>
        </w:rPr>
        <w:t>Março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e PA Três Ilhas, atuando como fornecedores dos alimentos e a Unifesspa e Comissão Pastoral da Terra – CPT, atuando na divulgação, sistematização, organização, transporte e distribuição dos alimentos.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A Feira dos Povos do Campo que ocorria de forma física antes do contexto de pandemia foi objeto das ações do PET – Observatório de Estudos da Fronteira nos anos de 2019 e 2020 e frente aos desafios imposto à comercialização dos produtos com a impossibilidade de realização da feira de forma física, o grupo continuará atuando junto com os parceiros, agricultores e agricultoras, CPT e Pro Reitoria de extensão da Unifesspa nas ações em torno da Feira Virtual dos Povos do Campo enquanto a mesma for necessária no ano de 2021.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O grupo PET – Observatório de Estudos da Fronteira desenvolverá as seguintes atividades da feira virtual: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Reuniões mensais com agricultores para planejamento e avaliação das feiras;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Elaboração de formulário eletrônico com a lista de produtos;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Divulgação da lista de produtos;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Acompanhamento dos pedidos e pagamentos;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Interlocução com os agricultores e agricultoras;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Sistematização da lista total de produtos a ser fornecida pelos agricultores e agricultoras;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Organização da logística de entrega dos produtos que envolve o transporte, montagem das cestas, entrega.</w:t>
      </w:r>
    </w:p>
    <w:p w:rsidR="00F922CB" w:rsidRPr="00F922CB" w:rsidRDefault="00F922CB" w:rsidP="00F922CB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Análise dos dados e elaboração de relatório final.</w:t>
      </w:r>
    </w:p>
    <w:p w:rsidR="00A70D81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OBS: a</w:t>
      </w:r>
      <w:proofErr w:type="gramStart"/>
      <w:r w:rsidRPr="00F922CB">
        <w:rPr>
          <w:rFonts w:ascii="Arial" w:hAnsi="Arial" w:cs="Arial"/>
          <w:sz w:val="24"/>
          <w:szCs w:val="24"/>
        </w:rPr>
        <w:t>) Cabe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ressaltar que essa ação será realizada enquanto se fizer necessário a continuidade da Feira no formato virtual e no caso do retorno as atividades presenciais </w:t>
      </w:r>
    </w:p>
    <w:p w:rsidR="00A70D81" w:rsidRDefault="00A70D81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922CB">
        <w:rPr>
          <w:rFonts w:ascii="Arial" w:hAnsi="Arial" w:cs="Arial"/>
          <w:sz w:val="24"/>
          <w:szCs w:val="24"/>
        </w:rPr>
        <w:t>será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elaborado um relatório final da feira virtual e os bolsistas serão realocado para outras atividades. b) Todas as atividades a serem realizadas de forma presencial será apreciada pelo comitê local de monitoramento da COVID – 19 e será seguido com rigor todos os protocolos de segurança oficiais publicados pelas autoridades de saúde para o combate ao COVID – 19.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jc w:val="both"/>
        <w:rPr>
          <w:rFonts w:ascii="Arial" w:hAnsi="Arial" w:cs="Arial"/>
          <w:b/>
          <w:sz w:val="24"/>
          <w:szCs w:val="24"/>
        </w:rPr>
      </w:pPr>
      <w:r w:rsidRPr="00F922CB">
        <w:rPr>
          <w:rFonts w:ascii="Arial" w:hAnsi="Arial" w:cs="Arial"/>
          <w:b/>
          <w:sz w:val="24"/>
          <w:szCs w:val="24"/>
        </w:rPr>
        <w:t>O AVANÇO DO AGRONEGÓCIO E O (</w:t>
      </w:r>
      <w:proofErr w:type="gramStart"/>
      <w:r w:rsidRPr="00F922CB">
        <w:rPr>
          <w:rFonts w:ascii="Arial" w:hAnsi="Arial" w:cs="Arial"/>
          <w:b/>
          <w:sz w:val="24"/>
          <w:szCs w:val="24"/>
        </w:rPr>
        <w:t>DES)ENVOLVIMENTO</w:t>
      </w:r>
      <w:proofErr w:type="gramEnd"/>
      <w:r w:rsidRPr="00F922CB">
        <w:rPr>
          <w:rFonts w:ascii="Arial" w:hAnsi="Arial" w:cs="Arial"/>
          <w:b/>
          <w:sz w:val="24"/>
          <w:szCs w:val="24"/>
        </w:rPr>
        <w:t xml:space="preserve"> REGIONAL – UM ESTUDO DE CASO A PARTIR DO MUNICÍPIO DE SANTA MARIA DAS BARREIRAS NO PARÁ. (430h)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As pesquisas realizadas pelo Grupo PET – Observatório de Estudos da Fronteira no ano de 2020 no âmbito do projeto Mapeamento de uso e cobertura do solo do município de Santa Maria das Barreiras tiveram como resultados a elaboração do mapa de uso e cobertura do solo do ano de 1972, mapeamento da vegetação natural primária em 1985, análise da fragmentação florestal a partir dos dados do </w:t>
      </w:r>
      <w:proofErr w:type="spellStart"/>
      <w:r w:rsidRPr="00F922CB">
        <w:rPr>
          <w:rFonts w:ascii="Arial" w:hAnsi="Arial" w:cs="Arial"/>
          <w:sz w:val="24"/>
          <w:szCs w:val="24"/>
        </w:rPr>
        <w:t>TerraClass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de 2004, 2008, 2010 e 2012, e levantamento bibliográfico e documental.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As pesquisas revelaram que o município de Santa Maria das Barreiras em 1972 já havia perdido cerca de 26% de sua vegetação natural primária e desta, 9% já </w:t>
      </w:r>
      <w:proofErr w:type="gramStart"/>
      <w:r w:rsidRPr="00F922CB">
        <w:rPr>
          <w:rFonts w:ascii="Arial" w:hAnsi="Arial" w:cs="Arial"/>
          <w:sz w:val="24"/>
          <w:szCs w:val="24"/>
        </w:rPr>
        <w:t>encontrava-se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2CB">
        <w:rPr>
          <w:rFonts w:ascii="Arial" w:hAnsi="Arial" w:cs="Arial"/>
          <w:sz w:val="24"/>
          <w:szCs w:val="24"/>
        </w:rPr>
        <w:t>antropizada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. A supressão da mata deu lugar principalmente </w:t>
      </w:r>
      <w:proofErr w:type="gramStart"/>
      <w:r w:rsidRPr="00F922CB">
        <w:rPr>
          <w:rFonts w:ascii="Arial" w:hAnsi="Arial" w:cs="Arial"/>
          <w:sz w:val="24"/>
          <w:szCs w:val="24"/>
        </w:rPr>
        <w:t>à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áreas de pastagem. Em 1985 a área de mata foi reduzida em 16% em relação a área de mata existente em 1972, e cerca de 16% da área de mata nativa em 1985 encontrava-se </w:t>
      </w:r>
      <w:proofErr w:type="spellStart"/>
      <w:r w:rsidRPr="00F922CB">
        <w:rPr>
          <w:rFonts w:ascii="Arial" w:hAnsi="Arial" w:cs="Arial"/>
          <w:sz w:val="24"/>
          <w:szCs w:val="24"/>
        </w:rPr>
        <w:t>antropizada</w:t>
      </w:r>
      <w:proofErr w:type="spellEnd"/>
      <w:r w:rsidRPr="00F922CB">
        <w:rPr>
          <w:rFonts w:ascii="Arial" w:hAnsi="Arial" w:cs="Arial"/>
          <w:sz w:val="24"/>
          <w:szCs w:val="24"/>
        </w:rPr>
        <w:t>. O desmatamento no período analisado corresponde a uma área de 1.251 km</w:t>
      </w:r>
      <w:r w:rsidRPr="00F922CB">
        <w:rPr>
          <w:rFonts w:ascii="Arial" w:hAnsi="Arial" w:cs="Arial"/>
          <w:sz w:val="24"/>
          <w:szCs w:val="24"/>
          <w:vertAlign w:val="superscript"/>
        </w:rPr>
        <w:t>2</w:t>
      </w:r>
      <w:r w:rsidRPr="00F922CB">
        <w:rPr>
          <w:rFonts w:ascii="Arial" w:hAnsi="Arial" w:cs="Arial"/>
          <w:sz w:val="24"/>
          <w:szCs w:val="24"/>
        </w:rPr>
        <w:t xml:space="preserve"> no decurso de apenas 13 anos. </w:t>
      </w:r>
      <w:proofErr w:type="gramStart"/>
      <w:r w:rsidRPr="00F922CB">
        <w:rPr>
          <w:rFonts w:ascii="Arial" w:hAnsi="Arial" w:cs="Arial"/>
          <w:sz w:val="24"/>
          <w:szCs w:val="24"/>
        </w:rPr>
        <w:t>Essa processo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de conversão de mata à pastagem e mais recentemente a culturas anuais continuou e em 2012 cerca de 79% da cobertura natural do município já havia sido subtraída. Neste ano, cerca de 15% da área do município estava ocupado com pastagem cultivada arbustiva, 35% com pastagem cultivada herbácea e, embora, seja menos de 1%, havia em 2012 cerca de 12,9 km</w:t>
      </w:r>
      <w:r w:rsidRPr="00F922CB">
        <w:rPr>
          <w:rFonts w:ascii="Arial" w:hAnsi="Arial" w:cs="Arial"/>
          <w:sz w:val="24"/>
          <w:szCs w:val="24"/>
          <w:vertAlign w:val="superscript"/>
        </w:rPr>
        <w:t>2</w:t>
      </w:r>
      <w:r w:rsidRPr="00F922CB">
        <w:rPr>
          <w:rFonts w:ascii="Arial" w:hAnsi="Arial" w:cs="Arial"/>
          <w:sz w:val="24"/>
          <w:szCs w:val="24"/>
        </w:rPr>
        <w:t xml:space="preserve"> de cultura agrícola temporária.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 intenso desmatamento no município de Santa Maria das Barreiras abriu espaço para o avanço do agronegócio, mas, </w:t>
      </w:r>
      <w:proofErr w:type="gramStart"/>
      <w:r w:rsidRPr="00F922CB">
        <w:rPr>
          <w:rFonts w:ascii="Arial" w:hAnsi="Arial" w:cs="Arial"/>
          <w:sz w:val="24"/>
          <w:szCs w:val="24"/>
        </w:rPr>
        <w:t>no entanto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não trouxe desenvolvimento à região, pelo contrário, as consequências foram a concentração de terras, a alta fragmentação da vegetação natural comprometendo as suas funções </w:t>
      </w:r>
      <w:proofErr w:type="spellStart"/>
      <w:r w:rsidRPr="00F922CB">
        <w:rPr>
          <w:rFonts w:ascii="Arial" w:hAnsi="Arial" w:cs="Arial"/>
          <w:sz w:val="24"/>
          <w:szCs w:val="24"/>
        </w:rPr>
        <w:t>socioecológicas</w:t>
      </w:r>
      <w:proofErr w:type="spellEnd"/>
      <w:r w:rsidRPr="00F922CB">
        <w:rPr>
          <w:rFonts w:ascii="Arial" w:hAnsi="Arial" w:cs="Arial"/>
          <w:sz w:val="24"/>
          <w:szCs w:val="24"/>
        </w:rPr>
        <w:t xml:space="preserve"> a uma situação de subdesenvolvimento das famílias.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Segundo relatório de 2016 produzido pelo Programa Municípios Verdes, o município possuía 27,14% de sua área ocupada por 28 projetos de assentamentos e 0,16% por terras indígenas, assim, 72,7% da área provavelmente encontra-se na mão do grande latifúndio.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Em 2004 o município tinha 971 fragmentos com tamanho médio de 275ha e em 2012, 3306 fragmentos com tamanho médio de 58ha. O aumento no número de fragmentos em 8 anos mais que triplicou e o tamanho médio do fragmento florestal reduziu a</w:t>
      </w:r>
      <w:r w:rsidR="00A70D81">
        <w:rPr>
          <w:rFonts w:ascii="Arial" w:hAnsi="Arial" w:cs="Arial"/>
          <w:sz w:val="24"/>
          <w:szCs w:val="24"/>
        </w:rPr>
        <w:t xml:space="preserve"> </w:t>
      </w:r>
      <w:r w:rsidRPr="00F922CB">
        <w:rPr>
          <w:rFonts w:ascii="Arial" w:hAnsi="Arial" w:cs="Arial"/>
          <w:sz w:val="24"/>
          <w:szCs w:val="24"/>
        </w:rPr>
        <w:lastRenderedPageBreak/>
        <w:t>quase 1/5. A redução dos fragmentos florestais impacta diretamente a sua funcionalidade no que diz respeito a prestação dos serviços ambientais prestados por eles, como a manutenção da biodiversidade, abrigo para animais polinizadores, redução da temperatura, etc.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Em maio de 2020 cerca de 12.492 pessoas ou 4.427 famílias estavam cadastradas no CADUNICO, desses 71% são residentes da zona rural, 29% residem na área urbana, 87% possui renda total da família até um salário mínimo e desses, 60% são da área rural. O índice de desenvolvimento humano do município (IDHM) em 2010 foi de 0,544 (PNUD 2010), classificado como baixo e o que mais contribui é o baixo acesso à educação.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O retrato do município apontado pelas pesquisas realizadas, mostram a necessidade de aprofundamento do estudo no sentido de problematizar o agronegócio na região, preencher lacunas do mapeamento de uso e cobertura do solo no período de 1985 </w:t>
      </w:r>
      <w:proofErr w:type="gramStart"/>
      <w:r w:rsidRPr="00F922CB">
        <w:rPr>
          <w:rFonts w:ascii="Arial" w:hAnsi="Arial" w:cs="Arial"/>
          <w:sz w:val="24"/>
          <w:szCs w:val="24"/>
        </w:rPr>
        <w:t>à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2021 relacionando-as com as principais politicas desenvolvimentistas e indicadores de qualidade de vida da população e desenvolvimento regional.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Considerando que o avanço do agronegócio é uma realidade em muitos municípios da região sul e sudeste do Pará, é preciso a promoção de um debate amplo que venha a refletir sobre a realidade de </w:t>
      </w:r>
      <w:proofErr w:type="gramStart"/>
      <w:r w:rsidRPr="00F922CB">
        <w:rPr>
          <w:rFonts w:ascii="Arial" w:hAnsi="Arial" w:cs="Arial"/>
          <w:sz w:val="24"/>
          <w:szCs w:val="24"/>
        </w:rPr>
        <w:t>diferentes município</w:t>
      </w:r>
      <w:proofErr w:type="gramEnd"/>
      <w:r w:rsidRPr="00F922CB">
        <w:rPr>
          <w:rFonts w:ascii="Arial" w:hAnsi="Arial" w:cs="Arial"/>
          <w:sz w:val="24"/>
          <w:szCs w:val="24"/>
        </w:rPr>
        <w:t xml:space="preserve"> da região sul e sudeste do Pará e suas relações com o agronegócio, sobretudo na condição de camponeses assentados da reforma agrária.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Diante do exposto, o projeto tem por objetivo identificar e problematizar os principais impactos socioeconômicos decorrentes do avanço do agronegócio no município de Santa Maria das Barreiras.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Objetivos específicos: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Mapear a dinâmica de uso e cobertura do solo no município de Santa Maria por meio da classificação de imagens de satélite;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Levantamento de dados socioeconômico e ambientais do município e região;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Realização de atividades de intervenção em escolas do campo em diferentes município</w:t>
      </w:r>
      <w:r w:rsidR="00A70D81">
        <w:rPr>
          <w:rFonts w:ascii="Arial" w:hAnsi="Arial" w:cs="Arial"/>
          <w:sz w:val="24"/>
          <w:szCs w:val="24"/>
        </w:rPr>
        <w:t>s</w:t>
      </w:r>
      <w:r w:rsidRPr="00F922CB">
        <w:rPr>
          <w:rFonts w:ascii="Arial" w:hAnsi="Arial" w:cs="Arial"/>
          <w:sz w:val="24"/>
          <w:szCs w:val="24"/>
        </w:rPr>
        <w:t xml:space="preserve">. 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 xml:space="preserve">Como atividades de intervenção em escolas do campo propõem-se debater sobre temáticas relacionadas a questões socioambientais e alternativas produtivas no âmbito da agricultura familiar, a partir de diversas práticas pedagógicas a ser pensadas e discutidas com os bolsistas e escola. Para além das discussões, propõem-se atividades práticas com distribuição de mudas nativas como o açaí.   </w:t>
      </w:r>
    </w:p>
    <w:p w:rsidR="00F922CB" w:rsidRPr="00F922CB" w:rsidRDefault="00F922CB" w:rsidP="00F922CB">
      <w:pPr>
        <w:jc w:val="both"/>
        <w:rPr>
          <w:rFonts w:ascii="Arial" w:hAnsi="Arial" w:cs="Arial"/>
          <w:sz w:val="24"/>
          <w:szCs w:val="24"/>
        </w:rPr>
      </w:pPr>
    </w:p>
    <w:p w:rsidR="00F922CB" w:rsidRPr="00F922CB" w:rsidRDefault="00A70D81" w:rsidP="00A70D81">
      <w:pPr>
        <w:tabs>
          <w:tab w:val="left" w:pos="3195"/>
        </w:tabs>
        <w:jc w:val="both"/>
        <w:rPr>
          <w:rFonts w:ascii="Arial" w:hAnsi="Arial" w:cs="Arial"/>
          <w:sz w:val="24"/>
          <w:szCs w:val="24"/>
        </w:rPr>
        <w:sectPr w:rsidR="00F922CB" w:rsidRPr="00F922CB" w:rsidSect="00C60A50">
          <w:headerReference w:type="default" r:id="rId7"/>
          <w:footerReference w:type="default" r:id="rId8"/>
          <w:pgSz w:w="11906" w:h="16838" w:code="9"/>
          <w:pgMar w:top="1418" w:right="1418" w:bottom="1418" w:left="1418" w:header="57" w:footer="397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F922CB" w:rsidRPr="00F922CB" w:rsidRDefault="00F922CB" w:rsidP="00F922CB">
      <w:pPr>
        <w:jc w:val="center"/>
        <w:rPr>
          <w:rFonts w:ascii="Arial" w:hAnsi="Arial" w:cs="Arial"/>
          <w:sz w:val="24"/>
          <w:szCs w:val="24"/>
        </w:rPr>
      </w:pPr>
    </w:p>
    <w:p w:rsidR="00F922CB" w:rsidRPr="00F922CB" w:rsidRDefault="00F922CB" w:rsidP="00F922CB">
      <w:pPr>
        <w:jc w:val="center"/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CRONOGRAMA DE ATIVIDADES – ANO BASE 2021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14"/>
        <w:gridCol w:w="424"/>
        <w:gridCol w:w="433"/>
        <w:gridCol w:w="405"/>
        <w:gridCol w:w="414"/>
        <w:gridCol w:w="414"/>
        <w:gridCol w:w="360"/>
        <w:gridCol w:w="442"/>
        <w:gridCol w:w="396"/>
        <w:gridCol w:w="414"/>
        <w:gridCol w:w="442"/>
        <w:gridCol w:w="442"/>
      </w:tblGrid>
      <w:tr w:rsidR="00F922CB" w:rsidRPr="00F922CB" w:rsidTr="00422B6D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Plano de atividade - PET Observatório de estudos da fronteira</w:t>
            </w:r>
          </w:p>
        </w:tc>
      </w:tr>
      <w:tr w:rsidR="00F922CB" w:rsidRPr="00F922CB" w:rsidTr="00422B6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Dez</w:t>
            </w:r>
          </w:p>
        </w:tc>
      </w:tr>
      <w:tr w:rsidR="00F922CB" w:rsidRPr="00F922CB" w:rsidTr="00422B6D">
        <w:trPr>
          <w:trHeight w:val="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Classificação de imagens de satélite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Elaboração dos mapas de uso e cobertura do 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922CB" w:rsidRPr="00F922CB" w:rsidTr="00422B6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Minicursos de classificação de imagens e geoprocessamento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Levantamento e análise de dados socioeconômicos e ambientais do município de santa Maria das Barreiras e região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Intervenção em escolas do campo*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Planejamento e atividades de intervenção em escolas do campo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Viagem ao município de Santa Maria das Barreiras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Aplicação de questionários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Produção de mudas de açaí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22CB" w:rsidRPr="00F922CB" w:rsidTr="00422B6D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Digitalização do acervo da </w:t>
            </w: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Fecampo</w:t>
            </w:r>
            <w:proofErr w:type="spellEnd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922CB" w:rsidRPr="00F922CB" w:rsidTr="00422B6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Indexação do acervo da </w:t>
            </w: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Fecampo</w:t>
            </w:r>
            <w:proofErr w:type="spellEnd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922CB" w:rsidRPr="00F922CB" w:rsidTr="00422B6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Alimentação da plataforma on-line com material digital do acervo da </w:t>
            </w:r>
            <w:proofErr w:type="spellStart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Fecampo</w:t>
            </w:r>
            <w:proofErr w:type="spellEnd"/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922CB" w:rsidRPr="00F922CB" w:rsidTr="00422B6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CB" w:rsidRPr="00F922CB" w:rsidRDefault="00F922CB" w:rsidP="0042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Feira virtual dos povos do campo da Unifesspa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CB" w:rsidRPr="00F922CB" w:rsidRDefault="00F922CB" w:rsidP="0042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922CB" w:rsidRPr="00F922CB" w:rsidRDefault="00F922CB" w:rsidP="00F922CB">
      <w:pPr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* O município de localização das escolas e o número de escolas será definida de acordo com a existência de escolas do campo nas localidades de residência dos bolsistas residentes na zona rural.</w:t>
      </w:r>
    </w:p>
    <w:p w:rsidR="00F922CB" w:rsidRPr="00F922CB" w:rsidRDefault="00F922CB" w:rsidP="00F922CB">
      <w:pPr>
        <w:rPr>
          <w:rFonts w:ascii="Arial" w:hAnsi="Arial" w:cs="Arial"/>
          <w:sz w:val="24"/>
          <w:szCs w:val="24"/>
        </w:rPr>
      </w:pPr>
      <w:r w:rsidRPr="00F922CB">
        <w:rPr>
          <w:rFonts w:ascii="Arial" w:hAnsi="Arial" w:cs="Arial"/>
          <w:sz w:val="24"/>
          <w:szCs w:val="24"/>
        </w:rPr>
        <w:t>** a depender do retorno as atividades presenciais na Unifesspa e/ou nas escolas do campo dos município</w:t>
      </w:r>
      <w:r w:rsidR="00A70D81">
        <w:rPr>
          <w:rFonts w:ascii="Arial" w:hAnsi="Arial" w:cs="Arial"/>
          <w:sz w:val="24"/>
          <w:szCs w:val="24"/>
        </w:rPr>
        <w:t>s</w:t>
      </w:r>
      <w:r w:rsidRPr="00F922CB">
        <w:rPr>
          <w:rFonts w:ascii="Arial" w:hAnsi="Arial" w:cs="Arial"/>
          <w:sz w:val="24"/>
          <w:szCs w:val="24"/>
        </w:rPr>
        <w:t xml:space="preserve">. </w:t>
      </w:r>
    </w:p>
    <w:p w:rsidR="00F922CB" w:rsidRPr="00F922CB" w:rsidRDefault="00F922CB" w:rsidP="00F922CB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p w:rsidR="00AD3412" w:rsidRPr="00F922CB" w:rsidRDefault="00AD3412" w:rsidP="00AD3412">
      <w:pPr>
        <w:rPr>
          <w:rFonts w:ascii="Arial" w:hAnsi="Arial" w:cs="Arial"/>
          <w:sz w:val="24"/>
          <w:szCs w:val="24"/>
        </w:rPr>
      </w:pPr>
    </w:p>
    <w:sectPr w:rsidR="00AD3412" w:rsidRPr="00F922CB" w:rsidSect="00AD3412">
      <w:headerReference w:type="default" r:id="rId9"/>
      <w:footerReference w:type="default" r:id="rId10"/>
      <w:pgSz w:w="11906" w:h="16838" w:code="9"/>
      <w:pgMar w:top="1418" w:right="1418" w:bottom="1418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98" w:rsidRDefault="00072D98">
      <w:pPr>
        <w:spacing w:after="0" w:line="240" w:lineRule="auto"/>
      </w:pPr>
      <w:r>
        <w:separator/>
      </w:r>
    </w:p>
  </w:endnote>
  <w:endnote w:type="continuationSeparator" w:id="0">
    <w:p w:rsidR="00072D98" w:rsidRDefault="0007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B" w:rsidRPr="00F81BA1" w:rsidRDefault="00F922CB" w:rsidP="009472B2">
    <w:pPr>
      <w:spacing w:after="0" w:line="240" w:lineRule="auto"/>
      <w:jc w:val="center"/>
      <w:rPr>
        <w:color w:val="002060"/>
      </w:rPr>
    </w:pPr>
    <w:r w:rsidRPr="00D5433B">
      <w:rPr>
        <w:rFonts w:ascii="Arial" w:hAnsi="Arial" w:cs="Arial"/>
        <w:b/>
        <w:sz w:val="18"/>
        <w:szCs w:val="16"/>
      </w:rPr>
      <w:t>Fone: (94) 2101-7138</w:t>
    </w:r>
    <w:r>
      <w:rPr>
        <w:rFonts w:ascii="Arial" w:hAnsi="Arial" w:cs="Arial"/>
        <w:b/>
        <w:sz w:val="18"/>
        <w:szCs w:val="16"/>
      </w:rPr>
      <w:t xml:space="preserve"> / E-MAIL: </w:t>
    </w:r>
    <w:hyperlink r:id="rId1" w:history="1">
      <w:r w:rsidRPr="00F0370F">
        <w:rPr>
          <w:rStyle w:val="Hyperlink"/>
          <w:rFonts w:ascii="Arial" w:hAnsi="Arial" w:cs="Arial"/>
          <w:b/>
          <w:sz w:val="18"/>
          <w:szCs w:val="16"/>
        </w:rPr>
        <w:t>fecampo@unifesspa.edu.br</w:t>
      </w:r>
    </w:hyperlink>
    <w:r>
      <w:rPr>
        <w:rFonts w:ascii="Arial" w:hAnsi="Arial" w:cs="Arial"/>
        <w:b/>
        <w:sz w:val="18"/>
        <w:szCs w:val="16"/>
      </w:rPr>
      <w:t xml:space="preserve"> / site: fecampo.unifesspa.edu.br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Pr="00F81BA1" w:rsidRDefault="00F922CB" w:rsidP="009472B2">
    <w:pPr>
      <w:spacing w:after="0" w:line="240" w:lineRule="auto"/>
      <w:jc w:val="center"/>
      <w:rPr>
        <w:color w:val="002060"/>
      </w:rPr>
    </w:pPr>
    <w:r w:rsidRPr="00D5433B">
      <w:rPr>
        <w:rFonts w:ascii="Arial" w:hAnsi="Arial" w:cs="Arial"/>
        <w:b/>
        <w:sz w:val="18"/>
        <w:szCs w:val="16"/>
      </w:rPr>
      <w:t>Fone: (94) 2101-7138</w:t>
    </w:r>
    <w:r>
      <w:rPr>
        <w:rFonts w:ascii="Arial" w:hAnsi="Arial" w:cs="Arial"/>
        <w:b/>
        <w:sz w:val="18"/>
        <w:szCs w:val="16"/>
      </w:rPr>
      <w:t xml:space="preserve"> / E-MAIL: </w:t>
    </w:r>
    <w:hyperlink r:id="rId1" w:history="1">
      <w:r w:rsidRPr="00F0370F">
        <w:rPr>
          <w:rStyle w:val="Hyperlink"/>
          <w:rFonts w:ascii="Arial" w:hAnsi="Arial" w:cs="Arial"/>
          <w:b/>
          <w:sz w:val="18"/>
          <w:szCs w:val="16"/>
        </w:rPr>
        <w:t>fecampo@unifesspa.edu.br</w:t>
      </w:r>
    </w:hyperlink>
    <w:r>
      <w:rPr>
        <w:rFonts w:ascii="Arial" w:hAnsi="Arial" w:cs="Arial"/>
        <w:b/>
        <w:sz w:val="18"/>
        <w:szCs w:val="16"/>
      </w:rPr>
      <w:t xml:space="preserve"> / site: fecampo.unifesspa.edu.br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98" w:rsidRDefault="00072D98">
      <w:pPr>
        <w:spacing w:after="0" w:line="240" w:lineRule="auto"/>
      </w:pPr>
      <w:r>
        <w:separator/>
      </w:r>
    </w:p>
  </w:footnote>
  <w:footnote w:type="continuationSeparator" w:id="0">
    <w:p w:rsidR="00072D98" w:rsidRDefault="0007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B" w:rsidRDefault="00F922CB" w:rsidP="00B975CF">
    <w:pPr>
      <w:spacing w:after="0" w:line="240" w:lineRule="auto"/>
      <w:jc w:val="center"/>
      <w:rPr>
        <w:b/>
        <w:sz w:val="20"/>
      </w:rPr>
    </w:pPr>
  </w:p>
  <w:p w:rsidR="00F922CB" w:rsidRDefault="00F922CB" w:rsidP="00B975CF">
    <w:pPr>
      <w:spacing w:after="0" w:line="240" w:lineRule="auto"/>
      <w:jc w:val="center"/>
      <w:rPr>
        <w:b/>
        <w:sz w:val="20"/>
      </w:rPr>
    </w:pPr>
  </w:p>
  <w:p w:rsidR="00F922CB" w:rsidRDefault="00F922CB" w:rsidP="00B975CF">
    <w:pPr>
      <w:spacing w:after="0" w:line="240" w:lineRule="aut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A1C6E6" wp14:editId="0058446B">
          <wp:simplePos x="0" y="0"/>
          <wp:positionH relativeFrom="column">
            <wp:posOffset>2635250</wp:posOffset>
          </wp:positionH>
          <wp:positionV relativeFrom="paragraph">
            <wp:posOffset>1270</wp:posOffset>
          </wp:positionV>
          <wp:extent cx="481330" cy="481330"/>
          <wp:effectExtent l="0" t="0" r="0" b="0"/>
          <wp:wrapNone/>
          <wp:docPr id="2" name="Imagem 2" descr="Serviço-Públic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-Públic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2CB" w:rsidRDefault="00F922CB" w:rsidP="00B975CF">
    <w:pPr>
      <w:spacing w:after="0" w:line="240" w:lineRule="auto"/>
      <w:jc w:val="center"/>
      <w:rPr>
        <w:b/>
        <w:color w:val="1F497D"/>
        <w:sz w:val="20"/>
      </w:rPr>
    </w:pPr>
  </w:p>
  <w:p w:rsidR="00F922CB" w:rsidRPr="00204BBB" w:rsidRDefault="00F922CB" w:rsidP="00B975CF">
    <w:pPr>
      <w:spacing w:after="0" w:line="240" w:lineRule="auto"/>
      <w:jc w:val="center"/>
      <w:rPr>
        <w:b/>
        <w:color w:val="1F497D"/>
        <w:sz w:val="20"/>
      </w:rPr>
    </w:pPr>
  </w:p>
  <w:p w:rsidR="00F922CB" w:rsidRPr="00FE59D6" w:rsidRDefault="00F922CB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SERVIÇO PÚBLICO FEDERAL</w:t>
    </w:r>
  </w:p>
  <w:p w:rsidR="00F922CB" w:rsidRPr="00FE59D6" w:rsidRDefault="00F922CB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UNIVERSIDADE FEDERAL DO SUL E SUDESTE DO PARÁ</w:t>
    </w:r>
  </w:p>
  <w:p w:rsidR="00F922CB" w:rsidRDefault="00F922CB" w:rsidP="0045594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FACULDADE DE EDUCAÇÃO DO CAMPO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Default="00072D98" w:rsidP="00B975CF">
    <w:pPr>
      <w:spacing w:after="0" w:line="240" w:lineRule="auto"/>
      <w:jc w:val="center"/>
      <w:rPr>
        <w:b/>
        <w:sz w:val="20"/>
      </w:rPr>
    </w:pPr>
  </w:p>
  <w:p w:rsidR="00953612" w:rsidRDefault="00072D98" w:rsidP="00B975CF">
    <w:pPr>
      <w:spacing w:after="0" w:line="240" w:lineRule="auto"/>
      <w:jc w:val="center"/>
      <w:rPr>
        <w:b/>
        <w:sz w:val="20"/>
      </w:rPr>
    </w:pPr>
  </w:p>
  <w:p w:rsidR="00953612" w:rsidRDefault="00F922CB" w:rsidP="00B975CF">
    <w:pPr>
      <w:spacing w:after="0" w:line="240" w:lineRule="aut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2DBEA" wp14:editId="113B6253">
          <wp:simplePos x="0" y="0"/>
          <wp:positionH relativeFrom="column">
            <wp:posOffset>2635250</wp:posOffset>
          </wp:positionH>
          <wp:positionV relativeFrom="paragraph">
            <wp:posOffset>1270</wp:posOffset>
          </wp:positionV>
          <wp:extent cx="481330" cy="481330"/>
          <wp:effectExtent l="0" t="0" r="0" b="0"/>
          <wp:wrapNone/>
          <wp:docPr id="3" name="Imagem 3" descr="Serviço-Públic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-Públic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612" w:rsidRDefault="00072D98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204BBB" w:rsidRDefault="00072D98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FE59D6" w:rsidRDefault="00F922CB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SERVIÇO PÚBLICO FEDERAL</w:t>
    </w:r>
  </w:p>
  <w:p w:rsidR="00953612" w:rsidRPr="00FE59D6" w:rsidRDefault="00F922CB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UNIVERSIDADE FEDERAL DO SUL E SUDESTE DO PARÁ</w:t>
    </w:r>
  </w:p>
  <w:p w:rsidR="00953612" w:rsidRDefault="00F922CB" w:rsidP="0045594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FACULDADE DE EDUCAÇÃO DO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23B"/>
    <w:multiLevelType w:val="hybridMultilevel"/>
    <w:tmpl w:val="F1B65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4A7"/>
    <w:multiLevelType w:val="hybridMultilevel"/>
    <w:tmpl w:val="6F52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DEB"/>
    <w:multiLevelType w:val="hybridMultilevel"/>
    <w:tmpl w:val="76146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A8D"/>
    <w:multiLevelType w:val="hybridMultilevel"/>
    <w:tmpl w:val="2FD0953E"/>
    <w:lvl w:ilvl="0" w:tplc="E7D0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C18"/>
    <w:multiLevelType w:val="hybridMultilevel"/>
    <w:tmpl w:val="BC24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5"/>
    <w:rsid w:val="00072D98"/>
    <w:rsid w:val="00610B3F"/>
    <w:rsid w:val="00670F70"/>
    <w:rsid w:val="00A70D81"/>
    <w:rsid w:val="00AD3412"/>
    <w:rsid w:val="00B12A85"/>
    <w:rsid w:val="00EA2EB9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BE66"/>
  <w15:chartTrackingRefBased/>
  <w15:docId w15:val="{B1F5B971-9C54-4FE1-8A86-CD081E2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8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A8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pt-BR"/>
    </w:rPr>
  </w:style>
  <w:style w:type="paragraph" w:customStyle="1" w:styleId="CM8">
    <w:name w:val="CM8"/>
    <w:basedOn w:val="Default"/>
    <w:next w:val="Default"/>
    <w:uiPriority w:val="99"/>
    <w:rsid w:val="00B12A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B12A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12A85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12A8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B12A85"/>
    <w:rPr>
      <w:color w:val="auto"/>
    </w:rPr>
  </w:style>
  <w:style w:type="paragraph" w:customStyle="1" w:styleId="CM5">
    <w:name w:val="CM5"/>
    <w:basedOn w:val="Default"/>
    <w:next w:val="Default"/>
    <w:uiPriority w:val="99"/>
    <w:rsid w:val="00B12A85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12A85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2A85"/>
    <w:pPr>
      <w:spacing w:line="31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12A85"/>
    <w:rPr>
      <w:color w:val="auto"/>
    </w:rPr>
  </w:style>
  <w:style w:type="character" w:styleId="Hyperlink">
    <w:name w:val="Hyperlink"/>
    <w:basedOn w:val="Fontepargpadro"/>
    <w:uiPriority w:val="99"/>
    <w:unhideWhenUsed/>
    <w:rsid w:val="00B12A85"/>
    <w:rPr>
      <w:rFonts w:cs="Times New Roman"/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A8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campo@unifesspa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camp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MUNIZ</dc:creator>
  <cp:keywords/>
  <dc:description/>
  <cp:lastModifiedBy>gilmar.ramos</cp:lastModifiedBy>
  <cp:revision>2</cp:revision>
  <dcterms:created xsi:type="dcterms:W3CDTF">2021-06-10T20:40:00Z</dcterms:created>
  <dcterms:modified xsi:type="dcterms:W3CDTF">2021-06-10T20:40:00Z</dcterms:modified>
</cp:coreProperties>
</file>